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18" w:rsidRPr="00A43F13" w:rsidRDefault="00A43618" w:rsidP="00A43F13">
      <w:pPr>
        <w:tabs>
          <w:tab w:val="center" w:pos="6237"/>
        </w:tabs>
        <w:spacing w:line="276" w:lineRule="auto"/>
        <w:rPr>
          <w:spacing w:val="6"/>
          <w:sz w:val="26"/>
          <w:szCs w:val="26"/>
          <w:lang w:val="ru-RU"/>
        </w:rPr>
      </w:pPr>
      <w:r w:rsidRPr="00A43F13">
        <w:rPr>
          <w:spacing w:val="6"/>
          <w:sz w:val="26"/>
          <w:szCs w:val="26"/>
          <w:lang w:val="ru-RU"/>
        </w:rPr>
        <w:t>РЕПУБЛИКА СРБИЈА</w:t>
      </w:r>
    </w:p>
    <w:p w:rsidR="00A43618" w:rsidRPr="00A43F13" w:rsidRDefault="00A43618" w:rsidP="00A43F13">
      <w:pPr>
        <w:spacing w:line="276" w:lineRule="auto"/>
        <w:outlineLvl w:val="0"/>
        <w:rPr>
          <w:spacing w:val="6"/>
          <w:sz w:val="26"/>
          <w:szCs w:val="26"/>
          <w:lang w:val="ru-RU"/>
        </w:rPr>
      </w:pPr>
      <w:r w:rsidRPr="00A43F13">
        <w:rPr>
          <w:spacing w:val="6"/>
          <w:sz w:val="26"/>
          <w:szCs w:val="26"/>
          <w:lang w:val="ru-RU"/>
        </w:rPr>
        <w:t>НАРОДНА СКУПШТИНА</w:t>
      </w:r>
    </w:p>
    <w:p w:rsidR="00A43618" w:rsidRPr="00A43F13" w:rsidRDefault="00A43618" w:rsidP="00A43F13">
      <w:pPr>
        <w:spacing w:line="276" w:lineRule="auto"/>
        <w:rPr>
          <w:spacing w:val="6"/>
          <w:sz w:val="26"/>
          <w:szCs w:val="26"/>
          <w:lang w:val="ru-RU"/>
        </w:rPr>
      </w:pPr>
      <w:r w:rsidRPr="00A43F13">
        <w:rPr>
          <w:spacing w:val="6"/>
          <w:sz w:val="26"/>
          <w:szCs w:val="26"/>
          <w:lang w:val="ru-RU"/>
        </w:rPr>
        <w:t xml:space="preserve">Одбор за уставна питања </w:t>
      </w:r>
    </w:p>
    <w:p w:rsidR="00A43618" w:rsidRPr="00A43F13" w:rsidRDefault="00A43618" w:rsidP="00A43F13">
      <w:pPr>
        <w:spacing w:line="276" w:lineRule="auto"/>
        <w:rPr>
          <w:spacing w:val="6"/>
          <w:sz w:val="26"/>
          <w:szCs w:val="26"/>
          <w:lang w:val="ru-RU"/>
        </w:rPr>
      </w:pPr>
      <w:r w:rsidRPr="00A43F13">
        <w:rPr>
          <w:spacing w:val="6"/>
          <w:sz w:val="26"/>
          <w:szCs w:val="26"/>
          <w:lang w:val="ru-RU"/>
        </w:rPr>
        <w:t xml:space="preserve">и законодавство </w:t>
      </w:r>
    </w:p>
    <w:p w:rsidR="000D45D5" w:rsidRDefault="00A43618" w:rsidP="00A43F13">
      <w:pPr>
        <w:spacing w:line="276" w:lineRule="auto"/>
        <w:rPr>
          <w:spacing w:val="6"/>
          <w:sz w:val="26"/>
          <w:szCs w:val="26"/>
        </w:rPr>
      </w:pPr>
      <w:r w:rsidRPr="00A43F13">
        <w:rPr>
          <w:spacing w:val="6"/>
          <w:sz w:val="26"/>
          <w:szCs w:val="26"/>
          <w:lang w:val="ru-RU"/>
        </w:rPr>
        <w:t>0</w:t>
      </w:r>
      <w:r w:rsidRPr="00A43F13">
        <w:rPr>
          <w:spacing w:val="6"/>
          <w:sz w:val="26"/>
          <w:szCs w:val="26"/>
        </w:rPr>
        <w:t>4</w:t>
      </w:r>
      <w:r w:rsidR="00A43F13" w:rsidRPr="00A43F13">
        <w:rPr>
          <w:spacing w:val="6"/>
          <w:sz w:val="26"/>
          <w:szCs w:val="26"/>
          <w:lang w:val="ru-RU"/>
        </w:rPr>
        <w:t xml:space="preserve"> Број: 612-339/15</w:t>
      </w:r>
    </w:p>
    <w:p w:rsidR="00A43618" w:rsidRPr="000D45D5" w:rsidRDefault="000D45D5" w:rsidP="00A43F13">
      <w:pPr>
        <w:spacing w:line="276" w:lineRule="auto"/>
        <w:rPr>
          <w:spacing w:val="6"/>
          <w:sz w:val="26"/>
          <w:szCs w:val="26"/>
        </w:rPr>
      </w:pPr>
      <w:r>
        <w:rPr>
          <w:spacing w:val="6"/>
          <w:sz w:val="26"/>
          <w:szCs w:val="26"/>
        </w:rPr>
        <w:t>27.</w:t>
      </w:r>
      <w:r w:rsidR="00A43F13" w:rsidRPr="00A43F13">
        <w:rPr>
          <w:spacing w:val="6"/>
          <w:sz w:val="26"/>
          <w:szCs w:val="26"/>
          <w:lang w:val="ru-RU"/>
        </w:rPr>
        <w:t xml:space="preserve"> април</w:t>
      </w:r>
      <w:r w:rsidR="00A43618" w:rsidRPr="00A43F13">
        <w:rPr>
          <w:spacing w:val="6"/>
          <w:sz w:val="26"/>
          <w:szCs w:val="26"/>
          <w:lang w:val="ru-RU"/>
        </w:rPr>
        <w:t xml:space="preserve"> 2015. године</w:t>
      </w:r>
    </w:p>
    <w:p w:rsidR="00A43618" w:rsidRPr="00A630FD" w:rsidRDefault="00A43618" w:rsidP="00A43F13">
      <w:pPr>
        <w:spacing w:line="276" w:lineRule="auto"/>
        <w:rPr>
          <w:spacing w:val="6"/>
          <w:sz w:val="26"/>
          <w:szCs w:val="26"/>
          <w:lang w:val="sr-Cyrl-RS"/>
        </w:rPr>
      </w:pPr>
      <w:r w:rsidRPr="00A43F13">
        <w:rPr>
          <w:spacing w:val="6"/>
          <w:sz w:val="26"/>
          <w:szCs w:val="26"/>
          <w:lang w:val="ru-RU"/>
        </w:rPr>
        <w:t>Б е о г р а д</w:t>
      </w:r>
    </w:p>
    <w:p w:rsidR="00A43618" w:rsidRPr="00A43F13" w:rsidRDefault="00A43618" w:rsidP="00A43F13">
      <w:pPr>
        <w:spacing w:line="276" w:lineRule="auto"/>
        <w:rPr>
          <w:spacing w:val="6"/>
          <w:sz w:val="26"/>
          <w:szCs w:val="26"/>
          <w:lang w:val="ru-RU"/>
        </w:rPr>
      </w:pPr>
    </w:p>
    <w:p w:rsidR="00A43618" w:rsidRPr="00A43F13" w:rsidRDefault="00A43618" w:rsidP="00A43F13">
      <w:pPr>
        <w:spacing w:line="276" w:lineRule="auto"/>
        <w:rPr>
          <w:spacing w:val="6"/>
          <w:sz w:val="26"/>
          <w:szCs w:val="26"/>
          <w:lang w:val="ru-RU"/>
        </w:rPr>
      </w:pPr>
    </w:p>
    <w:p w:rsidR="00A43618" w:rsidRPr="00A43F13" w:rsidRDefault="00A43618" w:rsidP="00A43F13">
      <w:pPr>
        <w:spacing w:line="276" w:lineRule="auto"/>
        <w:rPr>
          <w:spacing w:val="6"/>
          <w:sz w:val="26"/>
          <w:szCs w:val="26"/>
          <w:lang w:val="ru-RU"/>
        </w:rPr>
      </w:pP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jc w:val="center"/>
        <w:rPr>
          <w:spacing w:val="6"/>
          <w:sz w:val="26"/>
          <w:szCs w:val="26"/>
          <w:lang w:val="ru-RU"/>
        </w:rPr>
      </w:pPr>
      <w:r w:rsidRPr="00A43F13">
        <w:rPr>
          <w:spacing w:val="6"/>
          <w:sz w:val="26"/>
          <w:szCs w:val="26"/>
          <w:lang w:val="ru-RU"/>
        </w:rPr>
        <w:t xml:space="preserve">НАРОДНА СКУПШТИНА </w:t>
      </w:r>
    </w:p>
    <w:p w:rsidR="00A43618" w:rsidRPr="00A43F13" w:rsidRDefault="00A43618" w:rsidP="00A43F13">
      <w:pPr>
        <w:tabs>
          <w:tab w:val="center" w:pos="6237"/>
        </w:tabs>
        <w:spacing w:line="276" w:lineRule="auto"/>
        <w:rPr>
          <w:spacing w:val="6"/>
          <w:sz w:val="26"/>
          <w:szCs w:val="26"/>
          <w:lang w:val="ru-RU"/>
        </w:rPr>
      </w:pPr>
      <w:r w:rsidRPr="00A43F13">
        <w:rPr>
          <w:spacing w:val="6"/>
          <w:sz w:val="26"/>
          <w:szCs w:val="26"/>
          <w:lang w:val="ru-RU"/>
        </w:rPr>
        <w:tab/>
      </w:r>
    </w:p>
    <w:p w:rsidR="00A43618" w:rsidRPr="00A43F13" w:rsidRDefault="00A43F13" w:rsidP="00A43F13">
      <w:pPr>
        <w:tabs>
          <w:tab w:val="center" w:pos="6237"/>
        </w:tabs>
        <w:spacing w:line="276" w:lineRule="auto"/>
        <w:rPr>
          <w:spacing w:val="6"/>
          <w:sz w:val="26"/>
          <w:szCs w:val="26"/>
          <w:lang w:val="ru-RU"/>
        </w:rPr>
      </w:pPr>
      <w:r>
        <w:rPr>
          <w:spacing w:val="6"/>
          <w:sz w:val="26"/>
          <w:szCs w:val="26"/>
          <w:lang w:val="ru-RU"/>
        </w:rPr>
        <w:tab/>
      </w:r>
      <w:r>
        <w:rPr>
          <w:spacing w:val="6"/>
          <w:sz w:val="26"/>
          <w:szCs w:val="26"/>
          <w:lang w:val="ru-RU"/>
        </w:rPr>
        <w:tab/>
      </w:r>
      <w:r w:rsidR="00A43618" w:rsidRPr="00A43F13">
        <w:rPr>
          <w:spacing w:val="6"/>
          <w:sz w:val="26"/>
          <w:szCs w:val="26"/>
          <w:lang w:val="ru-RU"/>
        </w:rPr>
        <w:t>Б е о г р а д</w:t>
      </w: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spacing w:line="276" w:lineRule="auto"/>
        <w:rPr>
          <w:spacing w:val="6"/>
          <w:sz w:val="26"/>
          <w:szCs w:val="26"/>
          <w:lang w:val="sr-Cyrl-CS"/>
        </w:rPr>
      </w:pPr>
      <w:r w:rsidRPr="00A43F13">
        <w:rPr>
          <w:spacing w:val="6"/>
          <w:sz w:val="26"/>
          <w:szCs w:val="26"/>
          <w:lang w:val="ru-RU"/>
        </w:rPr>
        <w:tab/>
        <w:t xml:space="preserve">      Одбор за уставна питања и законодавство Народне скупштине, доставља, на основу члана 194. став 2. Пословника Народне скупштине </w:t>
      </w:r>
      <w:r w:rsidRPr="00A43F13">
        <w:rPr>
          <w:spacing w:val="6"/>
          <w:sz w:val="26"/>
          <w:szCs w:val="26"/>
          <w:lang w:val="sr-Cyrl-CS"/>
        </w:rPr>
        <w:t>(„</w:t>
      </w:r>
      <w:r w:rsidRPr="00A43F13">
        <w:rPr>
          <w:spacing w:val="6"/>
          <w:sz w:val="26"/>
          <w:szCs w:val="26"/>
          <w:lang w:val="ru-RU"/>
        </w:rPr>
        <w:t>Службени</w:t>
      </w:r>
      <w:r w:rsidRPr="00A43F13">
        <w:rPr>
          <w:spacing w:val="6"/>
          <w:sz w:val="26"/>
          <w:szCs w:val="26"/>
          <w:lang w:val="sr-Cyrl-CS"/>
        </w:rPr>
        <w:t xml:space="preserve"> гласник РС</w:t>
      </w:r>
      <w:r w:rsidRPr="00A43F13">
        <w:rPr>
          <w:spacing w:val="6"/>
          <w:sz w:val="26"/>
          <w:szCs w:val="26"/>
          <w:lang w:val="ru-RU"/>
        </w:rPr>
        <w:t>”</w:t>
      </w:r>
      <w:r w:rsidRPr="00A43F13">
        <w:rPr>
          <w:spacing w:val="6"/>
          <w:sz w:val="26"/>
          <w:szCs w:val="26"/>
          <w:lang w:val="sr-Cyrl-CS"/>
        </w:rPr>
        <w:t xml:space="preserve"> број 20/12 - пречишћен текст)</w:t>
      </w:r>
      <w:r w:rsidRPr="00A43F13">
        <w:rPr>
          <w:spacing w:val="6"/>
          <w:sz w:val="26"/>
          <w:szCs w:val="26"/>
          <w:lang w:val="ru-RU"/>
        </w:rPr>
        <w:t xml:space="preserve">, Народној скупштини Предлог аутентичног тумачења </w:t>
      </w:r>
      <w:r w:rsidRPr="00A43F13">
        <w:rPr>
          <w:spacing w:val="6"/>
          <w:sz w:val="26"/>
          <w:szCs w:val="26"/>
          <w:lang w:val="sr-Cyrl-CS"/>
        </w:rPr>
        <w:t>одредбе</w:t>
      </w:r>
      <w:r w:rsidR="00963BD3" w:rsidRPr="00A43F13">
        <w:rPr>
          <w:spacing w:val="6"/>
          <w:sz w:val="26"/>
          <w:szCs w:val="26"/>
        </w:rPr>
        <w:t xml:space="preserve"> </w:t>
      </w:r>
      <w:r w:rsidR="00963BD3" w:rsidRPr="00A43F13">
        <w:rPr>
          <w:sz w:val="26"/>
          <w:szCs w:val="26"/>
          <w:lang w:val="sr-Cyrl-RS"/>
        </w:rPr>
        <w:t>члана 54. став 1. Закона о високом образовању („Службени гласник РС“, бр. 76/05, 100/07 – аутентично тумачење, 97/08, 44/10, 93/12, 89/13 и 99/14)</w:t>
      </w:r>
      <w:r w:rsidR="00F66B06">
        <w:rPr>
          <w:sz w:val="26"/>
          <w:szCs w:val="26"/>
          <w:lang w:val="sr-Cyrl-RS"/>
        </w:rPr>
        <w:t>.</w:t>
      </w: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rPr>
          <w:spacing w:val="6"/>
          <w:sz w:val="26"/>
          <w:szCs w:val="26"/>
          <w:lang w:val="ru-RU"/>
        </w:rPr>
      </w:pPr>
      <w:r w:rsidRPr="00A43F13">
        <w:rPr>
          <w:spacing w:val="6"/>
          <w:sz w:val="26"/>
          <w:szCs w:val="26"/>
          <w:lang w:val="ru-RU"/>
        </w:rPr>
        <w:tab/>
      </w:r>
    </w:p>
    <w:p w:rsidR="00A43618" w:rsidRPr="00A43F13" w:rsidRDefault="00A43618" w:rsidP="00A43F13">
      <w:pPr>
        <w:tabs>
          <w:tab w:val="center" w:pos="6237"/>
        </w:tabs>
        <w:spacing w:line="276" w:lineRule="auto"/>
        <w:rPr>
          <w:spacing w:val="6"/>
          <w:sz w:val="26"/>
          <w:szCs w:val="26"/>
          <w:lang w:val="ru-RU"/>
        </w:rPr>
      </w:pPr>
      <w:r w:rsidRPr="00A43F13">
        <w:rPr>
          <w:spacing w:val="6"/>
          <w:sz w:val="26"/>
          <w:szCs w:val="26"/>
          <w:lang w:val="ru-RU"/>
        </w:rPr>
        <w:tab/>
        <w:t xml:space="preserve">             За представника Одбора у Народној скупштини одређен је др Александар Мартиновић, председник Одбора.</w:t>
      </w:r>
    </w:p>
    <w:p w:rsidR="00A43618" w:rsidRPr="00A43F13" w:rsidRDefault="00A43618" w:rsidP="00A43F13">
      <w:pPr>
        <w:tabs>
          <w:tab w:val="center" w:pos="6237"/>
        </w:tabs>
        <w:spacing w:line="276" w:lineRule="auto"/>
        <w:rPr>
          <w:spacing w:val="6"/>
          <w:sz w:val="26"/>
          <w:szCs w:val="26"/>
          <w:lang w:val="ru-RU"/>
        </w:rPr>
      </w:pPr>
      <w:r w:rsidRPr="00A43F13">
        <w:rPr>
          <w:spacing w:val="6"/>
          <w:sz w:val="26"/>
          <w:szCs w:val="26"/>
          <w:lang w:val="ru-RU"/>
        </w:rPr>
        <w:tab/>
      </w: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rPr>
          <w:spacing w:val="6"/>
          <w:sz w:val="26"/>
          <w:szCs w:val="26"/>
          <w:lang w:val="ru-RU"/>
        </w:rPr>
      </w:pPr>
    </w:p>
    <w:p w:rsidR="00A43618" w:rsidRPr="00A43F13" w:rsidRDefault="00A43618" w:rsidP="00A43F13">
      <w:pPr>
        <w:tabs>
          <w:tab w:val="center" w:pos="6237"/>
        </w:tabs>
        <w:spacing w:line="276" w:lineRule="auto"/>
        <w:ind w:left="5040"/>
        <w:jc w:val="center"/>
        <w:rPr>
          <w:spacing w:val="6"/>
          <w:sz w:val="26"/>
          <w:szCs w:val="26"/>
          <w:lang w:val="ru-RU"/>
        </w:rPr>
      </w:pPr>
      <w:r w:rsidRPr="00A43F13">
        <w:rPr>
          <w:spacing w:val="6"/>
          <w:sz w:val="26"/>
          <w:szCs w:val="26"/>
          <w:lang w:val="ru-RU"/>
        </w:rPr>
        <w:t>ПРЕДСЕДНИК ОДБОРА</w:t>
      </w:r>
    </w:p>
    <w:p w:rsidR="00A43618" w:rsidRPr="00A43F13" w:rsidRDefault="00A43618" w:rsidP="00A43F13">
      <w:pPr>
        <w:tabs>
          <w:tab w:val="center" w:pos="6237"/>
        </w:tabs>
        <w:spacing w:line="276" w:lineRule="auto"/>
        <w:ind w:left="5040"/>
        <w:jc w:val="center"/>
        <w:rPr>
          <w:spacing w:val="6"/>
          <w:sz w:val="26"/>
          <w:szCs w:val="26"/>
          <w:lang w:val="ru-RU"/>
        </w:rPr>
      </w:pPr>
    </w:p>
    <w:p w:rsidR="00A43618" w:rsidRPr="00A43F13" w:rsidRDefault="00A43618" w:rsidP="00A43F13">
      <w:pPr>
        <w:tabs>
          <w:tab w:val="center" w:pos="6237"/>
        </w:tabs>
        <w:spacing w:line="276" w:lineRule="auto"/>
        <w:ind w:left="5040"/>
        <w:jc w:val="center"/>
        <w:rPr>
          <w:sz w:val="26"/>
          <w:szCs w:val="26"/>
          <w:lang w:val="sr-Cyrl-CS"/>
        </w:rPr>
      </w:pPr>
      <w:r w:rsidRPr="00A43F13">
        <w:rPr>
          <w:sz w:val="26"/>
          <w:szCs w:val="26"/>
          <w:lang w:val="sr-Cyrl-CS"/>
        </w:rPr>
        <w:t>др Александар Мартиновић</w:t>
      </w:r>
    </w:p>
    <w:p w:rsidR="00A43618" w:rsidRPr="00A43F13" w:rsidRDefault="00A43618" w:rsidP="00A43F13">
      <w:pPr>
        <w:spacing w:line="276" w:lineRule="auto"/>
        <w:rPr>
          <w:noProof/>
          <w:sz w:val="26"/>
          <w:szCs w:val="26"/>
          <w:lang w:val="ru-RU"/>
        </w:rPr>
      </w:pPr>
    </w:p>
    <w:p w:rsidR="00A43618" w:rsidRPr="00A43F13" w:rsidRDefault="00A43618" w:rsidP="00A43F13">
      <w:pPr>
        <w:spacing w:line="276" w:lineRule="auto"/>
        <w:rPr>
          <w:sz w:val="26"/>
          <w:szCs w:val="26"/>
          <w:lang w:val="ru-RU"/>
        </w:rPr>
      </w:pPr>
    </w:p>
    <w:p w:rsidR="00A43618" w:rsidRPr="00A43F13" w:rsidRDefault="00A43618" w:rsidP="00A43F13">
      <w:pPr>
        <w:spacing w:line="276" w:lineRule="auto"/>
        <w:rPr>
          <w:sz w:val="26"/>
          <w:szCs w:val="26"/>
          <w:lang w:val="ru-RU"/>
        </w:rPr>
      </w:pPr>
    </w:p>
    <w:p w:rsidR="00A43618" w:rsidRPr="00A43F13" w:rsidRDefault="00A43618" w:rsidP="00A43F13">
      <w:pPr>
        <w:spacing w:line="276" w:lineRule="auto"/>
        <w:rPr>
          <w:spacing w:val="6"/>
          <w:sz w:val="26"/>
          <w:szCs w:val="26"/>
          <w:lang w:val="ru-RU"/>
        </w:rPr>
      </w:pPr>
      <w:r w:rsidRPr="00A43F13">
        <w:rPr>
          <w:spacing w:val="6"/>
          <w:sz w:val="26"/>
          <w:szCs w:val="26"/>
          <w:lang w:val="ru-RU"/>
        </w:rPr>
        <w:lastRenderedPageBreak/>
        <w:tab/>
        <w:t xml:space="preserve">На основу члана 194. став 2. Пословника Народне скупштине </w:t>
      </w:r>
      <w:r w:rsidRPr="00A43F13">
        <w:rPr>
          <w:spacing w:val="6"/>
          <w:sz w:val="26"/>
          <w:szCs w:val="26"/>
          <w:lang w:val="sr-Cyrl-CS"/>
        </w:rPr>
        <w:t>(„</w:t>
      </w:r>
      <w:r w:rsidRPr="00A43F13">
        <w:rPr>
          <w:spacing w:val="6"/>
          <w:sz w:val="26"/>
          <w:szCs w:val="26"/>
          <w:lang w:val="ru-RU"/>
        </w:rPr>
        <w:t>Службени</w:t>
      </w:r>
      <w:r w:rsidRPr="00A43F13">
        <w:rPr>
          <w:spacing w:val="6"/>
          <w:sz w:val="26"/>
          <w:szCs w:val="26"/>
          <w:lang w:val="sr-Cyrl-CS"/>
        </w:rPr>
        <w:t xml:space="preserve"> гласник РС</w:t>
      </w:r>
      <w:r w:rsidRPr="00A43F13">
        <w:rPr>
          <w:spacing w:val="6"/>
          <w:sz w:val="26"/>
          <w:szCs w:val="26"/>
          <w:lang w:val="ru-RU"/>
        </w:rPr>
        <w:t>”</w:t>
      </w:r>
      <w:r w:rsidRPr="00A43F13">
        <w:rPr>
          <w:spacing w:val="6"/>
          <w:sz w:val="26"/>
          <w:szCs w:val="26"/>
          <w:lang w:val="sr-Cyrl-CS"/>
        </w:rPr>
        <w:t xml:space="preserve"> број 20/12 - пречишћен текст</w:t>
      </w:r>
      <w:r w:rsidRPr="00A43F13">
        <w:rPr>
          <w:spacing w:val="6"/>
          <w:sz w:val="26"/>
          <w:szCs w:val="26"/>
          <w:lang w:val="ru-RU"/>
        </w:rPr>
        <w:t>)</w:t>
      </w:r>
    </w:p>
    <w:p w:rsidR="00A43618" w:rsidRPr="00A43F13" w:rsidRDefault="00A43618" w:rsidP="00A43F13">
      <w:pPr>
        <w:spacing w:line="276" w:lineRule="auto"/>
        <w:rPr>
          <w:spacing w:val="6"/>
          <w:sz w:val="26"/>
          <w:szCs w:val="26"/>
          <w:lang w:val="ru-RU"/>
        </w:rPr>
      </w:pPr>
      <w:r w:rsidRPr="00A43F13">
        <w:rPr>
          <w:spacing w:val="6"/>
          <w:sz w:val="26"/>
          <w:szCs w:val="26"/>
          <w:lang w:val="ru-RU"/>
        </w:rPr>
        <w:tab/>
        <w:t>Народна скупштина на седници одржаној __________________ 2015. године, донела је</w:t>
      </w:r>
    </w:p>
    <w:p w:rsidR="00A43618" w:rsidRPr="00A43F13" w:rsidRDefault="00A43618" w:rsidP="00A43F13">
      <w:pPr>
        <w:spacing w:line="276" w:lineRule="auto"/>
        <w:jc w:val="center"/>
        <w:rPr>
          <w:spacing w:val="6"/>
          <w:sz w:val="26"/>
          <w:szCs w:val="26"/>
          <w:lang w:val="ru-RU"/>
        </w:rPr>
      </w:pPr>
    </w:p>
    <w:p w:rsidR="00A43618" w:rsidRPr="00A43F13" w:rsidRDefault="00A43618" w:rsidP="00A43F13">
      <w:pPr>
        <w:spacing w:line="276" w:lineRule="auto"/>
        <w:jc w:val="center"/>
        <w:rPr>
          <w:spacing w:val="6"/>
          <w:sz w:val="26"/>
          <w:szCs w:val="26"/>
          <w:lang w:val="ru-RU"/>
        </w:rPr>
      </w:pPr>
      <w:r w:rsidRPr="00A43F13">
        <w:rPr>
          <w:spacing w:val="6"/>
          <w:sz w:val="26"/>
          <w:szCs w:val="26"/>
          <w:lang w:val="ru-RU"/>
        </w:rPr>
        <w:t>АУТЕНТИЧНО ТУМАЧЕЊЕ</w:t>
      </w:r>
    </w:p>
    <w:p w:rsidR="00A43618" w:rsidRPr="00A43F13" w:rsidRDefault="00A630FD" w:rsidP="00A630FD">
      <w:pPr>
        <w:spacing w:line="276" w:lineRule="auto"/>
        <w:jc w:val="center"/>
        <w:rPr>
          <w:spacing w:val="6"/>
          <w:sz w:val="26"/>
          <w:szCs w:val="26"/>
          <w:lang w:val="sr-Cyrl-CS"/>
        </w:rPr>
      </w:pPr>
      <w:r>
        <w:rPr>
          <w:spacing w:val="6"/>
          <w:sz w:val="26"/>
          <w:szCs w:val="26"/>
          <w:lang w:val="sr-Cyrl-CS"/>
        </w:rPr>
        <w:t>ОДРЕДБЕ ЧЛАНА 54. СТАВ 1. ЗАКОНА О ВИСОКОМ ОБРАЗОВАЊУ</w:t>
      </w:r>
      <w:r w:rsidR="00963BD3" w:rsidRPr="00A43F13">
        <w:rPr>
          <w:spacing w:val="6"/>
          <w:sz w:val="26"/>
          <w:szCs w:val="26"/>
        </w:rPr>
        <w:t xml:space="preserve"> </w:t>
      </w:r>
      <w:r w:rsidR="00963BD3" w:rsidRPr="00A43F13">
        <w:rPr>
          <w:sz w:val="26"/>
          <w:szCs w:val="26"/>
          <w:lang w:val="sr-Cyrl-RS"/>
        </w:rPr>
        <w:t>(„Службени гласник РС“, бр. 76/05, 100/07 – аутентично тумачење, 97/08, 44/10, 93/12, 89/13 и 99/14)</w:t>
      </w:r>
    </w:p>
    <w:p w:rsidR="00A43618" w:rsidRPr="00A43F13" w:rsidRDefault="00A43618" w:rsidP="00A43F13">
      <w:pPr>
        <w:spacing w:line="276" w:lineRule="auto"/>
        <w:rPr>
          <w:spacing w:val="6"/>
          <w:sz w:val="26"/>
          <w:szCs w:val="26"/>
          <w:lang w:val="ru-RU"/>
        </w:rPr>
      </w:pPr>
    </w:p>
    <w:p w:rsidR="00963BD3" w:rsidRPr="00A43F13" w:rsidRDefault="00963BD3" w:rsidP="001A5E17">
      <w:pPr>
        <w:spacing w:before="120" w:line="276" w:lineRule="auto"/>
        <w:ind w:firstLine="720"/>
        <w:rPr>
          <w:sz w:val="26"/>
          <w:szCs w:val="26"/>
          <w:lang w:val="sr-Cyrl-RS"/>
        </w:rPr>
      </w:pPr>
      <w:bookmarkStart w:id="0" w:name="SADRZAJ_269"/>
      <w:r w:rsidRPr="00A43F13">
        <w:rPr>
          <w:sz w:val="26"/>
          <w:szCs w:val="26"/>
          <w:lang w:val="sr-Cyrl-RS"/>
        </w:rPr>
        <w:t>Према одредб</w:t>
      </w:r>
      <w:r w:rsidRPr="00A43F13">
        <w:rPr>
          <w:sz w:val="26"/>
          <w:szCs w:val="26"/>
          <w:lang w:val="sr-Cyrl-CS"/>
        </w:rPr>
        <w:t>и</w:t>
      </w:r>
      <w:r w:rsidRPr="00A43F13">
        <w:rPr>
          <w:sz w:val="26"/>
          <w:szCs w:val="26"/>
          <w:lang w:val="sr-Cyrl-RS"/>
        </w:rPr>
        <w:t xml:space="preserve"> члана 54. став 1. Закона о високом образовању: „Орган пословођења универзитета је ректор, факултета – декан, академије струковних студија – председник, високе школе и високе школе струковних студија – директор. Орган пословођења се бира из реда наставника високошколске установе који су у радном односу са пуним радним временом, а изабрани су на неодређено време. Орган пословођења бира се на три године са могућношћу једног поновног избора.“</w:t>
      </w:r>
    </w:p>
    <w:bookmarkEnd w:id="0"/>
    <w:p w:rsidR="00963BD3" w:rsidRPr="00A43F13" w:rsidRDefault="00A43618" w:rsidP="001A5E17">
      <w:pPr>
        <w:spacing w:before="120" w:line="276" w:lineRule="auto"/>
        <w:ind w:firstLine="720"/>
        <w:rPr>
          <w:sz w:val="26"/>
          <w:szCs w:val="26"/>
          <w:lang w:val="sr-Cyrl-RS"/>
        </w:rPr>
      </w:pPr>
      <w:r w:rsidRPr="00A43F13">
        <w:rPr>
          <w:rStyle w:val="FontStyle18"/>
          <w:sz w:val="26"/>
          <w:szCs w:val="26"/>
          <w:lang w:val="sr-Cyrl-CS" w:eastAsia="sr-Cyrl-CS"/>
        </w:rPr>
        <w:t xml:space="preserve">Ову одредбу треба </w:t>
      </w:r>
      <w:r w:rsidR="00963BD3" w:rsidRPr="00A43F13">
        <w:rPr>
          <w:sz w:val="26"/>
          <w:szCs w:val="26"/>
          <w:lang w:val="sr-Cyrl-RS"/>
        </w:rPr>
        <w:t>разумети тако да се орган пословођења одговарајуће високошколске установе – ректор, декан, председник, односно директор бира на три године са могућношћу само једног поновног избора у истој установи, при чему на укупан број мандата који може да има у тој установи не утичу промене у имену и презимену тог лица, називу високошколске установе, као и измене и допуне закона уколико оне не уређују на другачији начин питање укупног броја мандата пословодног органа у истој установи. За укупан број мандата, који у истој установи може да има орган пословођења, није од значаја да ли је тај други мандат узастопан или је између два мандата дошло до паузе.</w:t>
      </w:r>
    </w:p>
    <w:p w:rsidR="00A43618" w:rsidRPr="0080543D" w:rsidRDefault="00A43618" w:rsidP="0080543D">
      <w:pPr>
        <w:tabs>
          <w:tab w:val="center" w:pos="6237"/>
        </w:tabs>
        <w:spacing w:before="120" w:line="276" w:lineRule="auto"/>
        <w:rPr>
          <w:spacing w:val="6"/>
          <w:sz w:val="26"/>
          <w:szCs w:val="26"/>
        </w:rPr>
      </w:pPr>
      <w:r w:rsidRPr="00A43F13">
        <w:rPr>
          <w:spacing w:val="6"/>
          <w:sz w:val="26"/>
          <w:szCs w:val="26"/>
          <w:lang w:val="ru-RU"/>
        </w:rPr>
        <w:tab/>
        <w:t xml:space="preserve">                     Ово аутентично тумачење објавити у "Службеном гласнику Републике Србије".</w:t>
      </w:r>
    </w:p>
    <w:p w:rsidR="00A43618" w:rsidRPr="00A43F13" w:rsidRDefault="00A43618" w:rsidP="0080543D">
      <w:pPr>
        <w:tabs>
          <w:tab w:val="center" w:pos="6237"/>
        </w:tabs>
        <w:spacing w:before="120" w:line="276" w:lineRule="auto"/>
        <w:rPr>
          <w:spacing w:val="6"/>
          <w:sz w:val="26"/>
          <w:szCs w:val="26"/>
          <w:lang w:val="ru-RU"/>
        </w:rPr>
      </w:pPr>
      <w:r w:rsidRPr="00A43F13">
        <w:rPr>
          <w:spacing w:val="6"/>
          <w:sz w:val="26"/>
          <w:szCs w:val="26"/>
          <w:lang w:val="ru-RU"/>
        </w:rPr>
        <w:t xml:space="preserve">01 Број </w:t>
      </w:r>
    </w:p>
    <w:p w:rsidR="00A43618" w:rsidRPr="00A43F13" w:rsidRDefault="00A43618" w:rsidP="00A43F13">
      <w:pPr>
        <w:tabs>
          <w:tab w:val="center" w:pos="6237"/>
        </w:tabs>
        <w:spacing w:line="276" w:lineRule="auto"/>
        <w:rPr>
          <w:spacing w:val="6"/>
          <w:sz w:val="26"/>
          <w:szCs w:val="26"/>
          <w:lang w:val="ru-RU"/>
        </w:rPr>
      </w:pPr>
      <w:r w:rsidRPr="00A43F13">
        <w:rPr>
          <w:spacing w:val="6"/>
          <w:sz w:val="26"/>
          <w:szCs w:val="26"/>
          <w:lang w:val="ru-RU"/>
        </w:rPr>
        <w:t>У Београду, ______________, 2015. године</w:t>
      </w:r>
    </w:p>
    <w:p w:rsidR="00A43618" w:rsidRPr="001A5E17" w:rsidRDefault="00A43618" w:rsidP="00A43F13">
      <w:pPr>
        <w:tabs>
          <w:tab w:val="center" w:pos="6237"/>
        </w:tabs>
        <w:spacing w:line="276" w:lineRule="auto"/>
        <w:rPr>
          <w:spacing w:val="6"/>
          <w:sz w:val="26"/>
          <w:szCs w:val="26"/>
        </w:rPr>
      </w:pPr>
    </w:p>
    <w:p w:rsidR="00A43618" w:rsidRPr="00A43F13" w:rsidRDefault="00A43618" w:rsidP="00A43F13">
      <w:pPr>
        <w:tabs>
          <w:tab w:val="center" w:pos="6237"/>
        </w:tabs>
        <w:spacing w:line="276" w:lineRule="auto"/>
        <w:jc w:val="center"/>
        <w:rPr>
          <w:spacing w:val="6"/>
          <w:sz w:val="26"/>
          <w:szCs w:val="26"/>
          <w:lang w:val="ru-RU"/>
        </w:rPr>
      </w:pPr>
      <w:r w:rsidRPr="00A43F13">
        <w:rPr>
          <w:spacing w:val="6"/>
          <w:sz w:val="26"/>
          <w:szCs w:val="26"/>
          <w:lang w:val="ru-RU"/>
        </w:rPr>
        <w:t xml:space="preserve">НАРОДНА СКУПШТИНА </w:t>
      </w:r>
    </w:p>
    <w:p w:rsidR="00A43618" w:rsidRPr="00A43F13" w:rsidRDefault="00A43618" w:rsidP="00A43F13">
      <w:pPr>
        <w:tabs>
          <w:tab w:val="center" w:pos="7230"/>
        </w:tabs>
        <w:spacing w:line="276" w:lineRule="auto"/>
        <w:rPr>
          <w:spacing w:val="6"/>
          <w:sz w:val="26"/>
          <w:szCs w:val="26"/>
          <w:lang w:val="ru-RU"/>
        </w:rPr>
      </w:pPr>
      <w:bookmarkStart w:id="1" w:name="_GoBack"/>
      <w:bookmarkEnd w:id="1"/>
      <w:r w:rsidRPr="00A43F13">
        <w:rPr>
          <w:spacing w:val="6"/>
          <w:sz w:val="26"/>
          <w:szCs w:val="26"/>
          <w:lang w:val="ru-RU"/>
        </w:rPr>
        <w:tab/>
      </w:r>
      <w:r w:rsidRPr="00A43F13">
        <w:rPr>
          <w:spacing w:val="6"/>
          <w:sz w:val="26"/>
          <w:szCs w:val="26"/>
          <w:lang w:val="ru-RU"/>
        </w:rPr>
        <w:tab/>
        <w:t>ПРЕДСЕДНИК</w:t>
      </w:r>
    </w:p>
    <w:p w:rsidR="00A43618" w:rsidRPr="00A43F13" w:rsidRDefault="00A43618" w:rsidP="00A43F13">
      <w:pPr>
        <w:tabs>
          <w:tab w:val="center" w:pos="7230"/>
        </w:tabs>
        <w:spacing w:line="276" w:lineRule="auto"/>
        <w:rPr>
          <w:spacing w:val="6"/>
          <w:sz w:val="26"/>
          <w:szCs w:val="26"/>
          <w:lang w:val="ru-RU"/>
        </w:rPr>
      </w:pPr>
      <w:r w:rsidRPr="00A43F13">
        <w:rPr>
          <w:spacing w:val="6"/>
          <w:sz w:val="26"/>
          <w:szCs w:val="26"/>
          <w:lang w:val="ru-RU"/>
        </w:rPr>
        <w:tab/>
        <w:t>Маја Гојковић</w:t>
      </w:r>
    </w:p>
    <w:p w:rsidR="00A43618" w:rsidRPr="00A43F13" w:rsidRDefault="00A43618" w:rsidP="00A43F13">
      <w:pPr>
        <w:tabs>
          <w:tab w:val="center" w:pos="6237"/>
        </w:tabs>
        <w:spacing w:line="276" w:lineRule="auto"/>
        <w:rPr>
          <w:sz w:val="26"/>
          <w:szCs w:val="26"/>
          <w:lang w:val="ru-RU"/>
        </w:rPr>
      </w:pPr>
    </w:p>
    <w:p w:rsidR="00A43618" w:rsidRPr="00A43F13" w:rsidRDefault="00A43618" w:rsidP="00A43F13">
      <w:pPr>
        <w:tabs>
          <w:tab w:val="center" w:pos="6237"/>
        </w:tabs>
        <w:spacing w:line="276" w:lineRule="auto"/>
        <w:rPr>
          <w:sz w:val="26"/>
          <w:szCs w:val="26"/>
          <w:lang w:val="ru-RU"/>
        </w:rPr>
      </w:pPr>
    </w:p>
    <w:p w:rsidR="00A43618" w:rsidRPr="00A43F13" w:rsidRDefault="00A43618" w:rsidP="00A43F13">
      <w:pPr>
        <w:tabs>
          <w:tab w:val="center" w:pos="6237"/>
        </w:tabs>
        <w:spacing w:line="276" w:lineRule="auto"/>
        <w:rPr>
          <w:sz w:val="26"/>
          <w:szCs w:val="26"/>
          <w:lang w:val="ru-RU"/>
        </w:rPr>
      </w:pPr>
    </w:p>
    <w:p w:rsidR="00A43618" w:rsidRPr="00A43F13" w:rsidRDefault="00A43618" w:rsidP="00A43F13">
      <w:pPr>
        <w:spacing w:line="276" w:lineRule="auto"/>
        <w:jc w:val="left"/>
        <w:rPr>
          <w:sz w:val="26"/>
          <w:szCs w:val="26"/>
          <w:lang w:val="ru-RU"/>
        </w:rPr>
        <w:sectPr w:rsidR="00A43618" w:rsidRPr="00A43F13">
          <w:pgSz w:w="11907" w:h="16840"/>
          <w:pgMar w:top="1985" w:right="1701" w:bottom="1701" w:left="1701" w:header="1418" w:footer="1134" w:gutter="0"/>
          <w:pgNumType w:start="1"/>
          <w:cols w:space="720"/>
        </w:sectPr>
      </w:pPr>
    </w:p>
    <w:p w:rsidR="00A43618" w:rsidRPr="00A43F13" w:rsidRDefault="00A43618" w:rsidP="00A43F13">
      <w:pPr>
        <w:tabs>
          <w:tab w:val="center" w:pos="6237"/>
        </w:tabs>
        <w:spacing w:line="276" w:lineRule="auto"/>
        <w:jc w:val="center"/>
        <w:rPr>
          <w:spacing w:val="6"/>
          <w:sz w:val="26"/>
          <w:szCs w:val="26"/>
          <w:lang w:val="ru-RU"/>
        </w:rPr>
      </w:pPr>
    </w:p>
    <w:p w:rsidR="00A43618" w:rsidRPr="00A43F13" w:rsidRDefault="00A43618" w:rsidP="00A43F13">
      <w:pPr>
        <w:tabs>
          <w:tab w:val="center" w:pos="6237"/>
        </w:tabs>
        <w:spacing w:line="276" w:lineRule="auto"/>
        <w:jc w:val="center"/>
        <w:rPr>
          <w:spacing w:val="6"/>
          <w:sz w:val="26"/>
          <w:szCs w:val="26"/>
          <w:lang w:val="ru-RU"/>
        </w:rPr>
      </w:pPr>
      <w:r w:rsidRPr="00A43F13">
        <w:rPr>
          <w:spacing w:val="6"/>
          <w:sz w:val="26"/>
          <w:szCs w:val="26"/>
          <w:lang w:val="ru-RU"/>
        </w:rPr>
        <w:t>О б р а з л о ж е њ е</w:t>
      </w:r>
    </w:p>
    <w:p w:rsidR="00A43618" w:rsidRPr="00A43F13" w:rsidRDefault="00A43618" w:rsidP="00A43F13">
      <w:pPr>
        <w:tabs>
          <w:tab w:val="center" w:pos="6237"/>
        </w:tabs>
        <w:spacing w:line="276" w:lineRule="auto"/>
        <w:jc w:val="center"/>
        <w:rPr>
          <w:spacing w:val="6"/>
          <w:sz w:val="26"/>
          <w:szCs w:val="26"/>
          <w:lang w:val="ru-RU"/>
        </w:rPr>
      </w:pPr>
    </w:p>
    <w:p w:rsidR="00A43618" w:rsidRPr="00A43F13" w:rsidRDefault="00A43618" w:rsidP="00A43F13">
      <w:pPr>
        <w:tabs>
          <w:tab w:val="center" w:pos="6237"/>
        </w:tabs>
        <w:spacing w:line="276" w:lineRule="auto"/>
        <w:jc w:val="center"/>
        <w:rPr>
          <w:spacing w:val="6"/>
          <w:sz w:val="26"/>
          <w:szCs w:val="26"/>
          <w:lang w:val="ru-RU"/>
        </w:rPr>
      </w:pPr>
    </w:p>
    <w:p w:rsidR="00963BD3" w:rsidRPr="00A43F13" w:rsidRDefault="00963BD3" w:rsidP="00A43F13">
      <w:pPr>
        <w:spacing w:line="276" w:lineRule="auto"/>
        <w:ind w:firstLine="720"/>
        <w:rPr>
          <w:sz w:val="26"/>
          <w:szCs w:val="26"/>
          <w:lang w:val="sr-Cyrl-RS"/>
        </w:rPr>
      </w:pPr>
      <w:r w:rsidRPr="00A43F13">
        <w:rPr>
          <w:sz w:val="26"/>
          <w:szCs w:val="26"/>
          <w:lang w:val="sr-Cyrl-RS"/>
        </w:rPr>
        <w:t>У Предлогу за доношење аутентичног тумачења одредаба члана 54. став 1. Закона о високом образовању, који је поднео народни посланик Владимир Орлић, указује се да постоји недоумица која је настала у примени наведеног члана закона – да ли ову одредбу треба тумачити тако да исто лице у истој високошколској установи може бити именовано за орган пословођења највише два пута, или више од два пута. Поставило се питање да ли промена назива високошколске установе промена имена/презимена лица које је два пута бирано за орган пословођења високошколске установе омогућава да то лице буде бирано у тој високошколској установи више од два пута, да ли доношење новог закона, измена и допуна важећег закона утиче на рачунање броја мандата за лице које је два пута било бирано за орган пословођења високошколске установе, с обзиром на то да је у примени уочена појава да се исто лице у истој високошколској установи бира три и више пута на функцију органа пословођења. Према Предлогу за доношење аутентичног тумачења, да би се обезбедила доступност јавне функције ректора, декана, односно директора високошколске установе, ограничење броја мандата спречавање злоупотребе те функције и спречавање корупције, што је сврха одредбе члана 54. став 1, ту одредбу Закона треба разумети тако да исто лице у једној високошколској установи може бити именовано за орган пословођења највише два пута у току радног века без обзира да ли је у међувремену дошло до измене назива институције, презимена или имена особе или промене закона све док закон прописује ово ограничење.</w:t>
      </w:r>
    </w:p>
    <w:p w:rsidR="00A43F13" w:rsidRPr="00A43F13" w:rsidRDefault="00A43F13" w:rsidP="00A43F13">
      <w:pPr>
        <w:spacing w:line="276" w:lineRule="auto"/>
        <w:ind w:firstLine="720"/>
        <w:rPr>
          <w:sz w:val="26"/>
          <w:szCs w:val="26"/>
          <w:lang w:val="sr-Cyrl-RS"/>
        </w:rPr>
      </w:pPr>
      <w:r w:rsidRPr="00A43F13">
        <w:rPr>
          <w:sz w:val="26"/>
          <w:szCs w:val="26"/>
          <w:lang w:val="sr-Cyrl-RS"/>
        </w:rPr>
        <w:t>Да би се навадена одредба разумела треба имати у виду да је ограничење броја мандата за ректора и декана уведено је у систем високог образовања одредбама раније важећег Закона о универзитету из 2002. године (члан 101. став 4. и члан 110. став 4) које је, на одговарајући начин, затим преузето и у важећем Закону о високом образовању, као трајно опредељење законодавца када је у питању вршење функције органа/систему високог образовања. Ограничење броја мандата треба да обезбеди подизање квалитета рада високошколске установе, смањи могућност корупције и обезбеди већу могућност за доступност јавне функције коју обавља орган пословођења.</w:t>
      </w:r>
    </w:p>
    <w:p w:rsidR="00A43F13" w:rsidRPr="00A43F13" w:rsidRDefault="00A43F13" w:rsidP="00A43F13">
      <w:pPr>
        <w:spacing w:line="276" w:lineRule="auto"/>
        <w:ind w:firstLine="720"/>
        <w:rPr>
          <w:sz w:val="26"/>
          <w:szCs w:val="26"/>
          <w:lang w:val="sr-Cyrl-RS"/>
        </w:rPr>
      </w:pPr>
      <w:r w:rsidRPr="00A43F13">
        <w:rPr>
          <w:sz w:val="26"/>
          <w:szCs w:val="26"/>
          <w:lang w:val="sr-Cyrl-RS"/>
        </w:rPr>
        <w:t>Чланом 107. став 1. тачка 3а) Закона о високом образовању прописао је као прекршај за који ће се новчаном казном казнити високошколска установа, ако изабере орган пословођења супротно одредбама овог закона (члан 54. став 1).</w:t>
      </w:r>
    </w:p>
    <w:p w:rsidR="00A43F13" w:rsidRPr="00A43F13" w:rsidRDefault="00A43F13" w:rsidP="00A43F13">
      <w:pPr>
        <w:spacing w:line="276" w:lineRule="auto"/>
        <w:ind w:firstLine="720"/>
        <w:rPr>
          <w:sz w:val="26"/>
          <w:szCs w:val="26"/>
          <w:lang w:val="sr-Cyrl-RS"/>
        </w:rPr>
      </w:pPr>
      <w:r w:rsidRPr="00A43F13">
        <w:rPr>
          <w:sz w:val="26"/>
          <w:szCs w:val="26"/>
          <w:lang w:val="sr-Cyrl-RS"/>
        </w:rPr>
        <w:lastRenderedPageBreak/>
        <w:t>Према томе, одредбу члана 54. став 1. Закона о високом образовању треба разумети, односно тумачити искључиво тако да се лице које је изабрано за орган пословођења једне високошколске установе према овом закону може још само једном поново изабрати за орган пословођења исте високошколске установе, односно највише два пута у току радног века – без обзира на то да ли је следећи, односно други мандат узастопан или је између два мандата дошло до паузе, као и без обзира на промену имена или презимена тог лица или измену назива те установе, односно уколико дође до измене или допуне Закона о високом образовању које се не односе на укупан број мандата органа пословођења у смислу члана 54. став 1. наведеног закона. Према наведеном закону нема основа да исто лице буде изабрано више од два пута за орган пословођења једне високошколске установе.</w:t>
      </w:r>
    </w:p>
    <w:p w:rsidR="00A43F13" w:rsidRDefault="00924E61" w:rsidP="00F66B06">
      <w:pPr>
        <w:pStyle w:val="Style1"/>
        <w:widowControl/>
        <w:spacing w:line="276" w:lineRule="auto"/>
        <w:ind w:right="9" w:firstLine="0"/>
        <w:rPr>
          <w:lang w:val="sr-Cyrl-RS"/>
        </w:rPr>
      </w:pPr>
      <w:r>
        <w:rPr>
          <w:rStyle w:val="FontStyle18"/>
          <w:sz w:val="26"/>
          <w:szCs w:val="26"/>
          <w:lang w:eastAsia="sr-Cyrl-CS"/>
        </w:rPr>
        <w:t xml:space="preserve">             </w:t>
      </w:r>
    </w:p>
    <w:p w:rsidR="00A43F13" w:rsidRDefault="00A43F13" w:rsidP="00A43F13">
      <w:pPr>
        <w:ind w:firstLine="720"/>
        <w:rPr>
          <w:lang w:val="sr-Cyrl-RS"/>
        </w:rPr>
      </w:pPr>
    </w:p>
    <w:p w:rsidR="003454CB" w:rsidRDefault="003454CB" w:rsidP="00963BD3">
      <w:pPr>
        <w:ind w:firstLine="720"/>
      </w:pPr>
    </w:p>
    <w:p w:rsidR="003454CB" w:rsidRPr="003454CB" w:rsidRDefault="003454CB" w:rsidP="00963BD3">
      <w:pPr>
        <w:ind w:firstLine="720"/>
      </w:pPr>
    </w:p>
    <w:p w:rsidR="00A43618" w:rsidRDefault="00A43618" w:rsidP="00A43618">
      <w:pPr>
        <w:rPr>
          <w:lang w:val="sr-Cyrl-CS"/>
        </w:rPr>
      </w:pPr>
    </w:p>
    <w:p w:rsidR="00A43618" w:rsidRDefault="00A43618" w:rsidP="00A43618">
      <w:pPr>
        <w:rPr>
          <w:lang w:val="sr-Cyrl-CS"/>
        </w:rPr>
      </w:pPr>
    </w:p>
    <w:p w:rsidR="00A43618" w:rsidRDefault="00A43618" w:rsidP="00A43618">
      <w:pPr>
        <w:rPr>
          <w:lang w:val="sr-Cyrl-CS"/>
        </w:rPr>
      </w:pPr>
    </w:p>
    <w:p w:rsidR="00A43618" w:rsidRDefault="00A43618" w:rsidP="00A43618">
      <w:pPr>
        <w:rPr>
          <w:lang w:val="sr-Cyrl-CS"/>
        </w:rPr>
      </w:pPr>
    </w:p>
    <w:p w:rsidR="00A43618" w:rsidRDefault="00A43618" w:rsidP="00A43618">
      <w:pPr>
        <w:rPr>
          <w:lang w:val="sr-Cyrl-CS"/>
        </w:rPr>
      </w:pPr>
    </w:p>
    <w:p w:rsidR="00A43618" w:rsidRDefault="00A43618" w:rsidP="00A43618">
      <w:pPr>
        <w:rPr>
          <w:lang w:val="sr-Cyrl-CS"/>
        </w:rPr>
      </w:pPr>
    </w:p>
    <w:p w:rsidR="00A43618" w:rsidRDefault="00A43618" w:rsidP="00A43618">
      <w:pPr>
        <w:rPr>
          <w:lang w:val="sr-Cyrl-CS"/>
        </w:rPr>
      </w:pPr>
    </w:p>
    <w:p w:rsidR="00A43618" w:rsidRDefault="00A43618" w:rsidP="00A43618"/>
    <w:p w:rsidR="00E44B8A" w:rsidRDefault="00E44B8A"/>
    <w:sectPr w:rsidR="00E44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18"/>
    <w:rsid w:val="000D45D5"/>
    <w:rsid w:val="001A5E17"/>
    <w:rsid w:val="003454CB"/>
    <w:rsid w:val="00455233"/>
    <w:rsid w:val="0080543D"/>
    <w:rsid w:val="00924E61"/>
    <w:rsid w:val="00963BD3"/>
    <w:rsid w:val="00973C7C"/>
    <w:rsid w:val="00A43618"/>
    <w:rsid w:val="00A43F13"/>
    <w:rsid w:val="00A630FD"/>
    <w:rsid w:val="00D86AA4"/>
    <w:rsid w:val="00E44B8A"/>
    <w:rsid w:val="00F6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1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A43618"/>
    <w:pPr>
      <w:ind w:left="375" w:right="375" w:firstLine="240"/>
    </w:pPr>
    <w:rPr>
      <w:rFonts w:ascii="Arial" w:hAnsi="Arial" w:cs="Arial"/>
      <w:sz w:val="20"/>
      <w:szCs w:val="20"/>
      <w:lang w:val="sr-Latn-CS" w:eastAsia="sr-Latn-CS"/>
    </w:rPr>
  </w:style>
  <w:style w:type="paragraph" w:customStyle="1" w:styleId="Style1">
    <w:name w:val="Style1"/>
    <w:basedOn w:val="Normal"/>
    <w:uiPriority w:val="99"/>
    <w:rsid w:val="00A43618"/>
    <w:pPr>
      <w:widowControl w:val="0"/>
      <w:autoSpaceDE w:val="0"/>
      <w:autoSpaceDN w:val="0"/>
      <w:adjustRightInd w:val="0"/>
      <w:spacing w:line="266" w:lineRule="exact"/>
      <w:ind w:firstLine="1384"/>
    </w:pPr>
    <w:rPr>
      <w:rFonts w:eastAsiaTheme="minorEastAsia"/>
    </w:rPr>
  </w:style>
  <w:style w:type="character" w:customStyle="1" w:styleId="FontStyle18">
    <w:name w:val="Font Style18"/>
    <w:basedOn w:val="DefaultParagraphFont"/>
    <w:uiPriority w:val="99"/>
    <w:rsid w:val="00A43618"/>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1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1tekst"/>
    <w:basedOn w:val="Normal"/>
    <w:rsid w:val="00A43618"/>
    <w:pPr>
      <w:ind w:left="375" w:right="375" w:firstLine="240"/>
    </w:pPr>
    <w:rPr>
      <w:rFonts w:ascii="Arial" w:hAnsi="Arial" w:cs="Arial"/>
      <w:sz w:val="20"/>
      <w:szCs w:val="20"/>
      <w:lang w:val="sr-Latn-CS" w:eastAsia="sr-Latn-CS"/>
    </w:rPr>
  </w:style>
  <w:style w:type="paragraph" w:customStyle="1" w:styleId="Style1">
    <w:name w:val="Style1"/>
    <w:basedOn w:val="Normal"/>
    <w:uiPriority w:val="99"/>
    <w:rsid w:val="00A43618"/>
    <w:pPr>
      <w:widowControl w:val="0"/>
      <w:autoSpaceDE w:val="0"/>
      <w:autoSpaceDN w:val="0"/>
      <w:adjustRightInd w:val="0"/>
      <w:spacing w:line="266" w:lineRule="exact"/>
      <w:ind w:firstLine="1384"/>
    </w:pPr>
    <w:rPr>
      <w:rFonts w:eastAsiaTheme="minorEastAsia"/>
    </w:rPr>
  </w:style>
  <w:style w:type="character" w:customStyle="1" w:styleId="FontStyle18">
    <w:name w:val="Font Style18"/>
    <w:basedOn w:val="DefaultParagraphFont"/>
    <w:uiPriority w:val="99"/>
    <w:rsid w:val="00A43618"/>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3126">
      <w:bodyDiv w:val="1"/>
      <w:marLeft w:val="0"/>
      <w:marRight w:val="0"/>
      <w:marTop w:val="0"/>
      <w:marBottom w:val="0"/>
      <w:divBdr>
        <w:top w:val="none" w:sz="0" w:space="0" w:color="auto"/>
        <w:left w:val="none" w:sz="0" w:space="0" w:color="auto"/>
        <w:bottom w:val="none" w:sz="0" w:space="0" w:color="auto"/>
        <w:right w:val="none" w:sz="0" w:space="0" w:color="auto"/>
      </w:divBdr>
    </w:div>
    <w:div w:id="17684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26E7-5983-4140-B10C-2B9DFB6C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Mila Antic</cp:lastModifiedBy>
  <cp:revision>2</cp:revision>
  <dcterms:created xsi:type="dcterms:W3CDTF">2015-05-07T09:36:00Z</dcterms:created>
  <dcterms:modified xsi:type="dcterms:W3CDTF">2015-05-07T09:36:00Z</dcterms:modified>
</cp:coreProperties>
</file>